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51"/>
        <w:gridCol w:w="1173"/>
        <w:gridCol w:w="2476"/>
        <w:gridCol w:w="46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4500"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分值构成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(总分100分)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工程总承包报价：</w:t>
            </w:r>
            <w:r>
              <w:rPr>
                <w:rFonts w:hint="eastAsia" w:ascii="宋体" w:hAnsi="宋体" w:eastAsia="宋体" w:cs="宋体"/>
                <w:b w:val="0"/>
                <w:i w:val="0"/>
                <w:caps w:val="0"/>
                <w:color w:val="000000"/>
                <w:spacing w:val="0"/>
                <w:sz w:val="18"/>
                <w:szCs w:val="18"/>
                <w:u w:val="single"/>
                <w:bdr w:val="none" w:color="auto" w:sz="0" w:space="0"/>
              </w:rPr>
              <w:t>≥85</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项目管理组织方案：</w:t>
            </w:r>
            <w:r>
              <w:rPr>
                <w:rFonts w:hint="eastAsia" w:ascii="宋体" w:hAnsi="宋体" w:eastAsia="宋体" w:cs="宋体"/>
                <w:b w:val="0"/>
                <w:i w:val="0"/>
                <w:caps w:val="0"/>
                <w:color w:val="000000"/>
                <w:spacing w:val="0"/>
                <w:sz w:val="18"/>
                <w:szCs w:val="18"/>
                <w:u w:val="single"/>
                <w:bdr w:val="none" w:color="auto" w:sz="0" w:space="0"/>
              </w:rPr>
              <w:t>≤13</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w:t>
            </w:r>
            <w:r>
              <w:rPr>
                <w:rFonts w:hint="eastAsia" w:ascii="宋体" w:hAnsi="宋体" w:eastAsia="宋体" w:cs="宋体"/>
                <w:b w:val="0"/>
                <w:i w:val="0"/>
                <w:caps w:val="0"/>
                <w:color w:val="000000"/>
                <w:spacing w:val="0"/>
                <w:sz w:val="18"/>
                <w:szCs w:val="18"/>
                <w:u w:val="single"/>
                <w:bdr w:val="none" w:color="auto" w:sz="0" w:space="0"/>
              </w:rPr>
              <w:t>≤2</w:t>
            </w:r>
            <w:r>
              <w:rPr>
                <w:rFonts w:hint="eastAsia" w:ascii="宋体" w:hAnsi="宋体" w:eastAsia="宋体" w:cs="宋体"/>
                <w:b w:val="0"/>
                <w:i w:val="0"/>
                <w:caps w:val="0"/>
                <w:color w:val="000000"/>
                <w:spacing w:val="0"/>
                <w:sz w:val="18"/>
                <w:szCs w:val="18"/>
                <w:bdr w:val="none" w:color="auto" w:sz="0" w:space="0"/>
              </w:rPr>
              <w:t>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序号</w:t>
            </w:r>
          </w:p>
        </w:tc>
        <w:tc>
          <w:tcPr>
            <w:tcW w:w="1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评分项</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评分因素（偏差率）</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000000"/>
                <w:spacing w:val="0"/>
                <w:sz w:val="18"/>
                <w:szCs w:val="18"/>
                <w:bdr w:val="none" w:color="auto" w:sz="0" w:space="0"/>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68" w:hRule="atLeast"/>
        </w:trPr>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2</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工程总承包报价（≥85分）</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报价评审（工程总承包范围内的所有费用）（≥83分）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采用苏建招办（2017）7号文“二、投标报价评审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中方法五（ABC合成法）作为基准价的计算方法，或者在方法一至方法四中任选不少于两种计算方法在开标时随机抽取确定基准价。投标报价相对评标基准价每低1%的所扣分值不少于0.3分，每高1%的所扣分值为负偏离扣分的2倍；偏离不足1%的，按照插入法计算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i w:val="0"/>
                <w:caps w:val="0"/>
                <w:color w:val="000000"/>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83"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投标报价合理性（≤2 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该项评审因素是否设立，由招标人自主确定，本项指标用于对工程总承包报价中不合理报价的评价，以下评审方法供参考：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1．工程总承包报价是否与招标范围相一致；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2．工程总承包报价是否与投标方案设计文件相匹配；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3．工程总承包报价是否与投标项目管理组织方案相匹配；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4．工程总承包报价中的风险金计取是否明确、合理。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5"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4680" w:type="dxa"/>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说明：1.评标价指经澄清、补正和修正算术计算错误的投标报价；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2.有效投标文件是指未被评标委员会判定为无效标的投标文件。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3</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项目管理组织方案（≤13分）</w:t>
            </w:r>
          </w:p>
        </w:tc>
        <w:tc>
          <w:tcPr>
            <w:tcW w:w="247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1．总体概述（≤1分）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对工程总承包的总体设想、组织形式、各项管理目标及控制措施、施工实施计划、设计与施工的协调措施等内容进行评分。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2.设计管理方案（1-2分）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1．对项目解读准确、设计构思合理。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2．设计进度计划及控制措施。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3．设计质量管理制度及控制措施。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4．设计重点、难点及控制措施。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5．设计过程对工程总投资控制措施。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0"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3．采购管理方案（≤1分）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对采购工作程序、采购执行计划、采买、催交与检验、运输与交付、采购变更管理、仓储管理等内容进行评分。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4．施工平面布置规划（≤1分）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对施工现场平面布置和临时设施、临时道路布置等内容进行评分。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5．施工的重点难点（≤1分）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对关键施工技术、工艺及工程项目实施的重点、难点和解决方案等内容进行评分。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4"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6．施工资源投入计划（≤1分）</w:t>
            </w:r>
          </w:p>
        </w:tc>
        <w:tc>
          <w:tcPr>
            <w:tcW w:w="4680"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对劳动力、机械设备和材料投入计划进行评分。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bookmarkStart w:id="0" w:name="_GoBack"/>
          </w:p>
        </w:tc>
        <w:tc>
          <w:tcPr>
            <w:tcW w:w="1173"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single" w:color="auto" w:sz="4" w:space="0"/>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7．项目管理机构（1-2分）</w:t>
            </w:r>
          </w:p>
        </w:tc>
        <w:tc>
          <w:tcPr>
            <w:tcW w:w="4680" w:type="dxa"/>
            <w:tcBorders>
              <w:top w:val="single" w:color="auto" w:sz="4" w:space="0"/>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8．新技术、新产品、新工艺、新材料（≤1分）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对采用新技术、新产品、新工艺、新材料的情况进行评分。</w:t>
            </w:r>
          </w:p>
        </w:tc>
      </w:tr>
      <w:bookmarkEnd w:id="0"/>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42"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9．建筑信息模型（BIM）技术（≤1分）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对建筑信息模型（BIM）技术的使用等内容进行评分。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10．工程总承包项目经理陈述及答辩（≤2分）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招标人可以要求投标工程总承包项目经理在评标环节陈述项目管理组织方案的主要内容或者现场回答评标委员会提出的问题（以书面为主），评分分值控制在2分以内。评标委员会拟定答辩题目时，应同时明确答案及得分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1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注：1．招标人可根据项目的实际情况选择增加上述各评分因素，但“评审项”分值不得调整；也可在招标文件中细化明确评分标准的内容，但一般不得突破各评分因素的规定分值。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2．项目管理组织方案总篇幅一般不超过100页（技术特别复杂的工程可适当增加），具体篇幅(字数)要求及扣分标准，招标人应在招标文件中明确。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6" w:hRule="atLeast"/>
        </w:trPr>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4</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工程业绩（≤2分）</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1．投标人类似工程业绩（≤1分）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企业承担过类似及以上的工程总承包业绩加分，累计不超过1分（其类似工程执行苏建规字（2017）1号文的相应规定，招标文件中应当明确投标企业承担过单个类似及以上工程的分值），如仅有类似设计业绩乘0.8，如仅有类似施工业绩乘0.7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注：联合体承担过的工程总承包业绩分值计算方法为：牵头方按该项分值的100%记取、参与方按该项分值的60%记取。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0"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2．工程总承包项目经理类似工程业绩（≤1分）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承担过类似及以上的工程总承包业绩加分，累计不超过1分（其类似工程执行苏建规字（2017）1号文的相应规定，招标文件中应当明确投标工程总承包项目经理承担过单个类似及以上工程的分值），如仅有类似设计业绩乘0.8，如仅有类似施工业绩乘0.7。</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ED0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2018-02-12T01:18:53Z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